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D9B" w:rsidRPr="0024468F" w:rsidRDefault="00436D9B" w:rsidP="00436D9B">
      <w:pPr>
        <w:spacing w:line="240" w:lineRule="auto"/>
        <w:contextualSpacing/>
        <w:jc w:val="center"/>
        <w:rPr>
          <w:b/>
          <w:i/>
          <w:sz w:val="36"/>
          <w:szCs w:val="32"/>
          <w:u w:val="single"/>
        </w:rPr>
      </w:pPr>
      <w:r w:rsidRPr="0024468F">
        <w:rPr>
          <w:b/>
          <w:i/>
          <w:sz w:val="36"/>
          <w:szCs w:val="32"/>
          <w:u w:val="single"/>
        </w:rPr>
        <w:t>NEW TRANSFER</w:t>
      </w:r>
    </w:p>
    <w:p w:rsidR="00436D9B" w:rsidRPr="006674C7" w:rsidRDefault="00436D9B" w:rsidP="00436D9B">
      <w:pPr>
        <w:spacing w:line="240" w:lineRule="auto"/>
        <w:contextualSpacing/>
        <w:jc w:val="center"/>
        <w:rPr>
          <w:sz w:val="36"/>
          <w:szCs w:val="32"/>
        </w:rPr>
      </w:pPr>
      <w:r w:rsidRPr="006674C7">
        <w:rPr>
          <w:sz w:val="36"/>
          <w:szCs w:val="32"/>
        </w:rPr>
        <w:t>Quick Advisement Guide</w:t>
      </w:r>
      <w:r>
        <w:rPr>
          <w:sz w:val="36"/>
          <w:szCs w:val="32"/>
        </w:rPr>
        <w:t xml:space="preserve">: </w:t>
      </w:r>
      <w:r>
        <w:rPr>
          <w:sz w:val="36"/>
          <w:szCs w:val="32"/>
          <w:highlight w:val="yellow"/>
        </w:rPr>
        <w:t>Catalog year FALL 2019</w:t>
      </w:r>
      <w:r w:rsidRPr="00A54DD4">
        <w:rPr>
          <w:sz w:val="36"/>
          <w:szCs w:val="32"/>
          <w:highlight w:val="yellow"/>
        </w:rPr>
        <w:t xml:space="preserve"> and later</w:t>
      </w:r>
    </w:p>
    <w:tbl>
      <w:tblPr>
        <w:tblStyle w:val="TableGrid"/>
        <w:tblW w:w="10800" w:type="dxa"/>
        <w:tblInd w:w="-725" w:type="dxa"/>
        <w:tblLook w:val="04A0" w:firstRow="1" w:lastRow="0" w:firstColumn="1" w:lastColumn="0" w:noHBand="0" w:noVBand="1"/>
      </w:tblPr>
      <w:tblGrid>
        <w:gridCol w:w="1170"/>
        <w:gridCol w:w="4770"/>
        <w:gridCol w:w="4860"/>
      </w:tblGrid>
      <w:tr w:rsidR="00436D9B" w:rsidRPr="006674C7" w:rsidTr="00F525E5">
        <w:trPr>
          <w:cantSplit/>
          <w:trHeight w:val="4535"/>
        </w:trPr>
        <w:tc>
          <w:tcPr>
            <w:tcW w:w="1170" w:type="dxa"/>
            <w:textDirection w:val="btLr"/>
          </w:tcPr>
          <w:p w:rsidR="00436D9B" w:rsidRPr="006674C7" w:rsidRDefault="00436D9B" w:rsidP="00F525E5">
            <w:pPr>
              <w:pStyle w:val="ListParagraph"/>
              <w:ind w:left="113" w:right="113"/>
              <w:jc w:val="center"/>
              <w:rPr>
                <w:b/>
                <w:sz w:val="36"/>
                <w:szCs w:val="36"/>
              </w:rPr>
            </w:pPr>
            <w:r w:rsidRPr="006674C7">
              <w:rPr>
                <w:b/>
                <w:sz w:val="36"/>
                <w:szCs w:val="36"/>
              </w:rPr>
              <w:t>FIRST CLASS SELECTION</w:t>
            </w:r>
          </w:p>
        </w:tc>
        <w:tc>
          <w:tcPr>
            <w:tcW w:w="9630" w:type="dxa"/>
            <w:gridSpan w:val="2"/>
            <w:tcBorders>
              <w:bottom w:val="single" w:sz="4" w:space="0" w:color="auto"/>
            </w:tcBorders>
          </w:tcPr>
          <w:p w:rsidR="00436D9B" w:rsidRPr="0024468F" w:rsidRDefault="00436D9B" w:rsidP="00F525E5">
            <w:pPr>
              <w:pStyle w:val="ListParagraph"/>
              <w:numPr>
                <w:ilvl w:val="0"/>
                <w:numId w:val="1"/>
              </w:numPr>
            </w:pPr>
            <w:r>
              <w:rPr>
                <w:i/>
              </w:rPr>
              <w:t>SCENA</w:t>
            </w:r>
            <w:r w:rsidRPr="0024468F">
              <w:rPr>
                <w:i/>
              </w:rPr>
              <w:t>RIO 1</w:t>
            </w:r>
            <w:r w:rsidRPr="0024468F">
              <w:t xml:space="preserve">: If you have completed PSYC 101-Intro Psych, PSYC 201-Intro Stats, and PSYC 202-Research methods equivalents at a community college please enroll into </w:t>
            </w:r>
            <w:r w:rsidRPr="00796509">
              <w:rPr>
                <w:b/>
              </w:rPr>
              <w:t>PSYC 300</w:t>
            </w:r>
            <w:r w:rsidRPr="0024468F">
              <w:t xml:space="preserve"> for your first semester. Check assist.org to make sure the psychology courses taken at your community college are equivalent to ours. If they are not contact </w:t>
            </w:r>
            <w:hyperlink r:id="rId5" w:history="1">
              <w:r w:rsidRPr="0024468F">
                <w:rPr>
                  <w:rStyle w:val="Hyperlink"/>
                </w:rPr>
                <w:t>psycadvisement@fullerton.edu</w:t>
              </w:r>
            </w:hyperlink>
          </w:p>
          <w:p w:rsidR="00436D9B" w:rsidRPr="006674C7" w:rsidRDefault="00436D9B" w:rsidP="00F525E5">
            <w:pPr>
              <w:pStyle w:val="ListParagraph"/>
              <w:numPr>
                <w:ilvl w:val="0"/>
                <w:numId w:val="1"/>
              </w:numPr>
            </w:pPr>
            <w:r>
              <w:rPr>
                <w:i/>
              </w:rPr>
              <w:t>SCENA</w:t>
            </w:r>
            <w:r w:rsidRPr="006674C7">
              <w:rPr>
                <w:i/>
              </w:rPr>
              <w:t>RIO 2</w:t>
            </w:r>
            <w:r w:rsidRPr="0024468F">
              <w:t xml:space="preserve">: If you have completed PSYC 101-Intro Psych and PSYC 201- Intro stats equivalents at a community college please enroll into </w:t>
            </w:r>
            <w:r w:rsidRPr="00796509">
              <w:rPr>
                <w:b/>
              </w:rPr>
              <w:t>PSYC 202</w:t>
            </w:r>
            <w:r w:rsidRPr="0024468F">
              <w:t xml:space="preserve"> for your first semester</w:t>
            </w:r>
          </w:p>
          <w:p w:rsidR="00436D9B" w:rsidRPr="006674C7" w:rsidRDefault="00436D9B" w:rsidP="00F525E5">
            <w:pPr>
              <w:pStyle w:val="ListParagraph"/>
              <w:numPr>
                <w:ilvl w:val="0"/>
                <w:numId w:val="1"/>
              </w:numPr>
            </w:pPr>
            <w:r>
              <w:rPr>
                <w:i/>
              </w:rPr>
              <w:t>SCENA</w:t>
            </w:r>
            <w:r w:rsidRPr="006674C7">
              <w:rPr>
                <w:i/>
              </w:rPr>
              <w:t>RIO 3:</w:t>
            </w:r>
            <w:r w:rsidRPr="006674C7">
              <w:t xml:space="preserve"> If you completed PSYC 101 and PSYC 202 equivalents and completed a statistics course from the math department at your community college please use assist.org to check if your math statistics course is equivalent to our PSYC 201 – if it is not listed contact </w:t>
            </w:r>
            <w:hyperlink r:id="rId6" w:history="1">
              <w:r w:rsidRPr="006674C7">
                <w:rPr>
                  <w:rStyle w:val="Hyperlink"/>
                  <w:color w:val="034990" w:themeColor="hyperlink" w:themeShade="BF"/>
                </w:rPr>
                <w:t>psycadvisement@fullerton.edu</w:t>
              </w:r>
            </w:hyperlink>
          </w:p>
          <w:p w:rsidR="00436D9B" w:rsidRPr="006674C7" w:rsidRDefault="00436D9B" w:rsidP="00F525E5">
            <w:r w:rsidRPr="006674C7">
              <w:rPr>
                <w:b/>
              </w:rPr>
              <w:t>A note about PSYC 300:</w:t>
            </w:r>
            <w:r w:rsidRPr="006674C7">
              <w:t xml:space="preserve"> </w:t>
            </w:r>
            <w:r w:rsidRPr="006674C7">
              <w:rPr>
                <w:sz w:val="20"/>
                <w:szCs w:val="20"/>
              </w:rPr>
              <w:t>This course is one of our most intensive and rigorous courses. The course content involves both</w:t>
            </w:r>
            <w:r>
              <w:rPr>
                <w:sz w:val="20"/>
                <w:szCs w:val="20"/>
              </w:rPr>
              <w:t xml:space="preserve"> the</w:t>
            </w:r>
            <w:r w:rsidRPr="006674C7">
              <w:rPr>
                <w:sz w:val="20"/>
                <w:szCs w:val="20"/>
              </w:rPr>
              <w:t xml:space="preserve"> learning and application of intermediate level statistical analysis and how they may be computed using computer software (Excel and SPSS). If you would be more comfortable giving yourself time to adjust to a new campus </w:t>
            </w:r>
            <w:r>
              <w:rPr>
                <w:sz w:val="20"/>
                <w:szCs w:val="20"/>
              </w:rPr>
              <w:t>and taking</w:t>
            </w:r>
            <w:r w:rsidRPr="006674C7">
              <w:rPr>
                <w:sz w:val="20"/>
                <w:szCs w:val="20"/>
              </w:rPr>
              <w:t xml:space="preserve"> university level course work during your first semester, you may save PSYC 300 for your second semester as a transfer and it will not detriment your progress. PSYC 300 is only a pre-requisite for one class, which is the lab requirem</w:t>
            </w:r>
            <w:r>
              <w:rPr>
                <w:sz w:val="20"/>
                <w:szCs w:val="20"/>
              </w:rPr>
              <w:t>ent. If this is the case for you, i</w:t>
            </w:r>
            <w:r w:rsidRPr="006674C7">
              <w:rPr>
                <w:sz w:val="20"/>
                <w:szCs w:val="20"/>
              </w:rPr>
              <w:t xml:space="preserve">nstead of enrolling into PSYC 300 you may enroll into a 300 level GE or psychology course listed below. </w:t>
            </w:r>
          </w:p>
        </w:tc>
      </w:tr>
      <w:tr w:rsidR="00436D9B" w:rsidRPr="006674C7" w:rsidTr="00F525E5">
        <w:trPr>
          <w:trHeight w:val="800"/>
        </w:trPr>
        <w:tc>
          <w:tcPr>
            <w:tcW w:w="1170" w:type="dxa"/>
            <w:vMerge w:val="restart"/>
            <w:textDirection w:val="btLr"/>
          </w:tcPr>
          <w:p w:rsidR="00436D9B" w:rsidRPr="00796509" w:rsidRDefault="00436D9B" w:rsidP="00F525E5">
            <w:pPr>
              <w:pStyle w:val="ListParagraph"/>
              <w:ind w:left="113" w:right="113"/>
              <w:jc w:val="center"/>
              <w:rPr>
                <w:b/>
                <w:sz w:val="32"/>
                <w:szCs w:val="32"/>
              </w:rPr>
            </w:pPr>
            <w:r w:rsidRPr="00796509">
              <w:rPr>
                <w:b/>
                <w:sz w:val="32"/>
                <w:szCs w:val="32"/>
              </w:rPr>
              <w:t>SECOND CLASS SELECTION</w:t>
            </w:r>
          </w:p>
        </w:tc>
        <w:tc>
          <w:tcPr>
            <w:tcW w:w="9630" w:type="dxa"/>
            <w:gridSpan w:val="2"/>
            <w:tcBorders>
              <w:bottom w:val="nil"/>
            </w:tcBorders>
          </w:tcPr>
          <w:p w:rsidR="00436D9B" w:rsidRPr="0024468F" w:rsidRDefault="00436D9B" w:rsidP="00F525E5">
            <w:pPr>
              <w:rPr>
                <w:sz w:val="28"/>
                <w:szCs w:val="24"/>
              </w:rPr>
            </w:pPr>
            <w:r w:rsidRPr="0024468F">
              <w:rPr>
                <w:sz w:val="28"/>
                <w:szCs w:val="24"/>
              </w:rPr>
              <w:t xml:space="preserve">Choose a psychology course from this list only and </w:t>
            </w:r>
            <w:r w:rsidRPr="0024468F">
              <w:rPr>
                <w:b/>
                <w:sz w:val="28"/>
                <w:szCs w:val="24"/>
              </w:rPr>
              <w:t>avoid</w:t>
            </w:r>
            <w:r w:rsidRPr="0024468F">
              <w:rPr>
                <w:sz w:val="28"/>
                <w:szCs w:val="24"/>
              </w:rPr>
              <w:t xml:space="preserve"> enrolling into PSYC 302, 303, 304, 305 or 306 and labs</w:t>
            </w:r>
          </w:p>
        </w:tc>
      </w:tr>
      <w:tr w:rsidR="00436D9B" w:rsidRPr="006674C7" w:rsidTr="00F525E5">
        <w:trPr>
          <w:trHeight w:val="2105"/>
        </w:trPr>
        <w:tc>
          <w:tcPr>
            <w:tcW w:w="1170" w:type="dxa"/>
            <w:vMerge/>
          </w:tcPr>
          <w:p w:rsidR="00436D9B" w:rsidRPr="006674C7" w:rsidRDefault="00436D9B" w:rsidP="00F525E5">
            <w:pPr>
              <w:pStyle w:val="ListParagraph"/>
              <w:ind w:left="0"/>
              <w:rPr>
                <w:b/>
                <w:sz w:val="20"/>
              </w:rPr>
            </w:pPr>
          </w:p>
        </w:tc>
        <w:tc>
          <w:tcPr>
            <w:tcW w:w="4770" w:type="dxa"/>
            <w:tcBorders>
              <w:top w:val="nil"/>
              <w:right w:val="nil"/>
            </w:tcBorders>
          </w:tcPr>
          <w:p w:rsidR="00436D9B" w:rsidRPr="006674C7" w:rsidRDefault="00436D9B" w:rsidP="00F525E5">
            <w:pPr>
              <w:ind w:left="360"/>
              <w:rPr>
                <w:sz w:val="20"/>
                <w:szCs w:val="20"/>
              </w:rPr>
            </w:pPr>
            <w:r w:rsidRPr="006674C7">
              <w:rPr>
                <w:sz w:val="20"/>
                <w:szCs w:val="20"/>
              </w:rPr>
              <w:t>PSYC 331- Psychology of Personality</w:t>
            </w:r>
          </w:p>
          <w:p w:rsidR="00436D9B" w:rsidRPr="006674C7" w:rsidRDefault="00436D9B" w:rsidP="00F525E5">
            <w:pPr>
              <w:ind w:left="360"/>
              <w:rPr>
                <w:sz w:val="20"/>
                <w:szCs w:val="20"/>
              </w:rPr>
            </w:pPr>
            <w:r w:rsidRPr="006674C7">
              <w:rPr>
                <w:sz w:val="20"/>
                <w:szCs w:val="20"/>
              </w:rPr>
              <w:t>PSYC 341 – Abnormal Psychology</w:t>
            </w:r>
          </w:p>
          <w:p w:rsidR="00436D9B" w:rsidRPr="006674C7" w:rsidRDefault="00436D9B" w:rsidP="00F525E5">
            <w:pPr>
              <w:ind w:left="360"/>
              <w:rPr>
                <w:sz w:val="20"/>
                <w:szCs w:val="20"/>
              </w:rPr>
            </w:pPr>
            <w:r w:rsidRPr="006674C7">
              <w:rPr>
                <w:sz w:val="20"/>
                <w:szCs w:val="20"/>
              </w:rPr>
              <w:t>PSYC 351 – Social Psychology</w:t>
            </w:r>
          </w:p>
          <w:p w:rsidR="00436D9B" w:rsidRPr="006674C7" w:rsidRDefault="00436D9B" w:rsidP="00F525E5">
            <w:pPr>
              <w:ind w:left="360"/>
              <w:rPr>
                <w:sz w:val="20"/>
                <w:szCs w:val="20"/>
              </w:rPr>
            </w:pPr>
            <w:r w:rsidRPr="006674C7">
              <w:rPr>
                <w:sz w:val="20"/>
                <w:szCs w:val="20"/>
              </w:rPr>
              <w:t>PSYC 361 – Developmental Psychology</w:t>
            </w:r>
          </w:p>
          <w:p w:rsidR="00436D9B" w:rsidRPr="006674C7" w:rsidRDefault="00436D9B" w:rsidP="00F525E5">
            <w:pPr>
              <w:ind w:left="360"/>
              <w:rPr>
                <w:sz w:val="20"/>
                <w:szCs w:val="20"/>
              </w:rPr>
            </w:pPr>
            <w:r w:rsidRPr="006674C7">
              <w:rPr>
                <w:sz w:val="20"/>
                <w:szCs w:val="20"/>
              </w:rPr>
              <w:t>PSYC 311 – Educational Psychology</w:t>
            </w:r>
          </w:p>
          <w:p w:rsidR="00436D9B" w:rsidRPr="006674C7" w:rsidRDefault="00436D9B" w:rsidP="00F525E5">
            <w:pPr>
              <w:ind w:left="360"/>
              <w:rPr>
                <w:sz w:val="20"/>
                <w:szCs w:val="20"/>
              </w:rPr>
            </w:pPr>
            <w:r w:rsidRPr="006674C7">
              <w:rPr>
                <w:sz w:val="20"/>
                <w:szCs w:val="20"/>
              </w:rPr>
              <w:t xml:space="preserve">PSYC 317 – Legal Psychology </w:t>
            </w:r>
          </w:p>
          <w:p w:rsidR="00436D9B" w:rsidRDefault="00436D9B" w:rsidP="00F525E5">
            <w:pPr>
              <w:ind w:left="360"/>
              <w:rPr>
                <w:sz w:val="20"/>
                <w:szCs w:val="20"/>
              </w:rPr>
            </w:pPr>
            <w:r w:rsidRPr="006674C7">
              <w:rPr>
                <w:sz w:val="20"/>
                <w:szCs w:val="20"/>
              </w:rPr>
              <w:t xml:space="preserve">PSYC 362 – Psychology of Aging </w:t>
            </w:r>
          </w:p>
          <w:p w:rsidR="00436D9B" w:rsidRPr="006674C7" w:rsidRDefault="00436D9B" w:rsidP="00F525E5">
            <w:pPr>
              <w:ind w:left="360"/>
              <w:rPr>
                <w:sz w:val="20"/>
                <w:szCs w:val="20"/>
              </w:rPr>
            </w:pPr>
            <w:r w:rsidRPr="006674C7">
              <w:rPr>
                <w:sz w:val="20"/>
                <w:szCs w:val="20"/>
              </w:rPr>
              <w:t>PSYC 391 – Industrial/Organization</w:t>
            </w:r>
            <w:r>
              <w:rPr>
                <w:sz w:val="20"/>
                <w:szCs w:val="20"/>
              </w:rPr>
              <w:t>al</w:t>
            </w:r>
            <w:r w:rsidRPr="006674C7">
              <w:rPr>
                <w:sz w:val="20"/>
                <w:szCs w:val="20"/>
              </w:rPr>
              <w:t xml:space="preserve"> Psychology</w:t>
            </w:r>
          </w:p>
          <w:p w:rsidR="00436D9B" w:rsidRPr="006674C7" w:rsidRDefault="00436D9B" w:rsidP="00F525E5">
            <w:pPr>
              <w:ind w:left="360"/>
              <w:rPr>
                <w:sz w:val="16"/>
                <w:szCs w:val="16"/>
              </w:rPr>
            </w:pPr>
          </w:p>
        </w:tc>
        <w:tc>
          <w:tcPr>
            <w:tcW w:w="4860" w:type="dxa"/>
            <w:tcBorders>
              <w:top w:val="nil"/>
              <w:left w:val="nil"/>
            </w:tcBorders>
          </w:tcPr>
          <w:p w:rsidR="00436D9B" w:rsidRPr="006674C7" w:rsidRDefault="00436D9B" w:rsidP="00F525E5">
            <w:pPr>
              <w:ind w:left="360"/>
              <w:rPr>
                <w:sz w:val="20"/>
                <w:szCs w:val="20"/>
              </w:rPr>
            </w:pPr>
            <w:r w:rsidRPr="006674C7">
              <w:rPr>
                <w:sz w:val="20"/>
                <w:szCs w:val="20"/>
              </w:rPr>
              <w:t>PSYC 312 – Psychology of Human Sexuality</w:t>
            </w:r>
          </w:p>
          <w:p w:rsidR="00436D9B" w:rsidRPr="006674C7" w:rsidRDefault="00436D9B" w:rsidP="00F525E5">
            <w:pPr>
              <w:ind w:left="360"/>
              <w:rPr>
                <w:sz w:val="20"/>
                <w:szCs w:val="20"/>
              </w:rPr>
            </w:pPr>
            <w:r w:rsidRPr="006674C7">
              <w:rPr>
                <w:sz w:val="20"/>
                <w:szCs w:val="20"/>
              </w:rPr>
              <w:t>PSYC 310 – Psychology of Gender</w:t>
            </w:r>
          </w:p>
          <w:p w:rsidR="00436D9B" w:rsidRDefault="00436D9B" w:rsidP="00F525E5">
            <w:pPr>
              <w:ind w:left="360"/>
              <w:rPr>
                <w:sz w:val="20"/>
                <w:szCs w:val="20"/>
              </w:rPr>
            </w:pPr>
            <w:r w:rsidRPr="006674C7">
              <w:rPr>
                <w:sz w:val="20"/>
                <w:szCs w:val="20"/>
              </w:rPr>
              <w:t>PSYC 321 – Psychology of Religion</w:t>
            </w:r>
          </w:p>
          <w:p w:rsidR="00436D9B" w:rsidRPr="006674C7" w:rsidRDefault="00436D9B" w:rsidP="00F525E5">
            <w:pPr>
              <w:ind w:left="360"/>
              <w:rPr>
                <w:sz w:val="20"/>
                <w:szCs w:val="20"/>
              </w:rPr>
            </w:pPr>
            <w:r>
              <w:rPr>
                <w:sz w:val="20"/>
                <w:szCs w:val="20"/>
              </w:rPr>
              <w:t>PSYC 322 -- Psychology of African Americans</w:t>
            </w:r>
          </w:p>
          <w:p w:rsidR="00436D9B" w:rsidRPr="006674C7" w:rsidRDefault="00436D9B" w:rsidP="00F525E5">
            <w:pPr>
              <w:ind w:left="360"/>
              <w:rPr>
                <w:sz w:val="20"/>
                <w:szCs w:val="20"/>
              </w:rPr>
            </w:pPr>
            <w:r w:rsidRPr="006674C7">
              <w:rPr>
                <w:sz w:val="20"/>
                <w:szCs w:val="20"/>
              </w:rPr>
              <w:t>PSYC 325 – Psychology of Prejudice and Discrimination</w:t>
            </w:r>
          </w:p>
          <w:p w:rsidR="00436D9B" w:rsidRPr="006674C7" w:rsidRDefault="00436D9B" w:rsidP="00F525E5">
            <w:pPr>
              <w:ind w:left="360"/>
              <w:rPr>
                <w:sz w:val="20"/>
                <w:szCs w:val="20"/>
              </w:rPr>
            </w:pPr>
            <w:r w:rsidRPr="006674C7">
              <w:rPr>
                <w:sz w:val="20"/>
                <w:szCs w:val="20"/>
              </w:rPr>
              <w:t>PSYC 346 – Asian American Psychology</w:t>
            </w:r>
          </w:p>
          <w:p w:rsidR="00436D9B" w:rsidRPr="006674C7" w:rsidRDefault="00436D9B" w:rsidP="00F525E5">
            <w:pPr>
              <w:ind w:left="360"/>
              <w:rPr>
                <w:sz w:val="16"/>
                <w:szCs w:val="16"/>
              </w:rPr>
            </w:pPr>
            <w:r w:rsidRPr="006674C7">
              <w:rPr>
                <w:sz w:val="20"/>
                <w:szCs w:val="20"/>
              </w:rPr>
              <w:t>PSYC 371 – Evolutionary Psychology</w:t>
            </w:r>
          </w:p>
        </w:tc>
      </w:tr>
      <w:tr w:rsidR="00436D9B" w:rsidRPr="006674C7" w:rsidTr="00F525E5">
        <w:trPr>
          <w:cantSplit/>
          <w:trHeight w:val="1970"/>
        </w:trPr>
        <w:tc>
          <w:tcPr>
            <w:tcW w:w="1170" w:type="dxa"/>
            <w:textDirection w:val="btLr"/>
          </w:tcPr>
          <w:p w:rsidR="00436D9B" w:rsidRPr="006674C7" w:rsidRDefault="00436D9B" w:rsidP="00F525E5">
            <w:pPr>
              <w:pStyle w:val="ListParagraph"/>
              <w:ind w:left="113" w:right="113"/>
              <w:jc w:val="center"/>
              <w:rPr>
                <w:b/>
                <w:sz w:val="20"/>
              </w:rPr>
            </w:pPr>
            <w:r w:rsidRPr="00796509">
              <w:rPr>
                <w:b/>
                <w:sz w:val="32"/>
              </w:rPr>
              <w:t>THIRD CLASS SELECTION</w:t>
            </w:r>
          </w:p>
        </w:tc>
        <w:tc>
          <w:tcPr>
            <w:tcW w:w="9630" w:type="dxa"/>
            <w:gridSpan w:val="2"/>
          </w:tcPr>
          <w:p w:rsidR="00436D9B" w:rsidRPr="00F73B1D" w:rsidRDefault="00436D9B" w:rsidP="00F525E5">
            <w:pPr>
              <w:pStyle w:val="ListParagraph"/>
              <w:numPr>
                <w:ilvl w:val="0"/>
                <w:numId w:val="1"/>
              </w:numPr>
              <w:rPr>
                <w:sz w:val="28"/>
                <w:szCs w:val="28"/>
              </w:rPr>
            </w:pPr>
            <w:r w:rsidRPr="00F73B1D">
              <w:rPr>
                <w:sz w:val="28"/>
                <w:szCs w:val="28"/>
              </w:rPr>
              <w:t xml:space="preserve">Choose a </w:t>
            </w:r>
            <w:r w:rsidRPr="00F73B1D">
              <w:rPr>
                <w:b/>
                <w:sz w:val="28"/>
                <w:szCs w:val="28"/>
              </w:rPr>
              <w:t xml:space="preserve">second </w:t>
            </w:r>
            <w:r w:rsidRPr="00F73B1D">
              <w:rPr>
                <w:sz w:val="28"/>
                <w:szCs w:val="28"/>
              </w:rPr>
              <w:t>psychology course from the list above and</w:t>
            </w:r>
            <w:r w:rsidRPr="00F73B1D">
              <w:rPr>
                <w:i/>
                <w:sz w:val="28"/>
                <w:szCs w:val="28"/>
              </w:rPr>
              <w:t xml:space="preserve"> avoid</w:t>
            </w:r>
            <w:r w:rsidRPr="00F73B1D">
              <w:rPr>
                <w:sz w:val="28"/>
                <w:szCs w:val="28"/>
              </w:rPr>
              <w:t xml:space="preserve"> enrolling into PSYC 302, 303, 304, 305 or 306</w:t>
            </w:r>
          </w:p>
          <w:p w:rsidR="00436D9B" w:rsidRPr="00F73B1D" w:rsidRDefault="00436D9B" w:rsidP="00F525E5">
            <w:pPr>
              <w:pStyle w:val="ListParagraph"/>
              <w:numPr>
                <w:ilvl w:val="0"/>
                <w:numId w:val="1"/>
              </w:numPr>
              <w:rPr>
                <w:sz w:val="28"/>
                <w:szCs w:val="28"/>
              </w:rPr>
            </w:pPr>
            <w:r w:rsidRPr="00F73B1D">
              <w:rPr>
                <w:sz w:val="28"/>
                <w:szCs w:val="28"/>
              </w:rPr>
              <w:t xml:space="preserve">If you are having trouble finding a second psychology course that works with your schedule choose a </w:t>
            </w:r>
            <w:r w:rsidRPr="00F73B1D">
              <w:rPr>
                <w:b/>
                <w:sz w:val="28"/>
                <w:szCs w:val="28"/>
              </w:rPr>
              <w:t xml:space="preserve">second </w:t>
            </w:r>
            <w:r w:rsidRPr="00F73B1D">
              <w:rPr>
                <w:sz w:val="28"/>
                <w:szCs w:val="28"/>
              </w:rPr>
              <w:t xml:space="preserve">General Education course from the list below </w:t>
            </w:r>
          </w:p>
        </w:tc>
      </w:tr>
      <w:tr w:rsidR="00436D9B" w:rsidRPr="006674C7" w:rsidTr="00F525E5">
        <w:trPr>
          <w:cantSplit/>
          <w:trHeight w:val="2240"/>
        </w:trPr>
        <w:tc>
          <w:tcPr>
            <w:tcW w:w="1170" w:type="dxa"/>
            <w:textDirection w:val="btLr"/>
          </w:tcPr>
          <w:p w:rsidR="00436D9B" w:rsidRPr="00796509" w:rsidRDefault="00436D9B" w:rsidP="00F525E5">
            <w:pPr>
              <w:pStyle w:val="ListParagraph"/>
              <w:ind w:left="113" w:right="113"/>
              <w:jc w:val="center"/>
              <w:rPr>
                <w:b/>
                <w:sz w:val="28"/>
                <w:szCs w:val="36"/>
              </w:rPr>
            </w:pPr>
            <w:r w:rsidRPr="00796509">
              <w:rPr>
                <w:b/>
                <w:sz w:val="32"/>
                <w:szCs w:val="36"/>
              </w:rPr>
              <w:t>FOURTH CLASS SELECTION</w:t>
            </w:r>
          </w:p>
        </w:tc>
        <w:tc>
          <w:tcPr>
            <w:tcW w:w="9630" w:type="dxa"/>
            <w:gridSpan w:val="2"/>
          </w:tcPr>
          <w:p w:rsidR="00436D9B" w:rsidRPr="00796509" w:rsidRDefault="00436D9B" w:rsidP="00F525E5">
            <w:pPr>
              <w:pStyle w:val="ListParagraph"/>
              <w:numPr>
                <w:ilvl w:val="0"/>
                <w:numId w:val="1"/>
              </w:numPr>
              <w:rPr>
                <w:i/>
                <w:sz w:val="28"/>
                <w:szCs w:val="28"/>
              </w:rPr>
            </w:pPr>
            <w:r w:rsidRPr="00F73B1D">
              <w:rPr>
                <w:sz w:val="28"/>
                <w:szCs w:val="28"/>
              </w:rPr>
              <w:t>Choose a 300-400 level approved General Education</w:t>
            </w:r>
            <w:r>
              <w:rPr>
                <w:sz w:val="28"/>
                <w:szCs w:val="28"/>
              </w:rPr>
              <w:t xml:space="preserve"> (GE)</w:t>
            </w:r>
            <w:r w:rsidRPr="00F73B1D">
              <w:rPr>
                <w:sz w:val="28"/>
                <w:szCs w:val="28"/>
              </w:rPr>
              <w:t xml:space="preserve"> class f</w:t>
            </w:r>
            <w:r>
              <w:rPr>
                <w:sz w:val="28"/>
                <w:szCs w:val="28"/>
              </w:rPr>
              <w:t>rom areas B.5</w:t>
            </w:r>
            <w:r w:rsidRPr="00F73B1D">
              <w:rPr>
                <w:sz w:val="28"/>
                <w:szCs w:val="28"/>
              </w:rPr>
              <w:t xml:space="preserve"> </w:t>
            </w:r>
            <w:r w:rsidR="006F20B1">
              <w:rPr>
                <w:sz w:val="28"/>
                <w:szCs w:val="28"/>
              </w:rPr>
              <w:t>or C.3</w:t>
            </w:r>
            <w:r>
              <w:rPr>
                <w:sz w:val="28"/>
                <w:szCs w:val="28"/>
              </w:rPr>
              <w:t xml:space="preserve"> on your Titan Degree Audit (TDA). The TDA will say that you need a GE from area D.4, however D.4 is covered by the psychology major. Upper division psychology courses listed under GE’s will count towards the completion of your major requirements.</w:t>
            </w:r>
            <w:bookmarkStart w:id="0" w:name="_GoBack"/>
            <w:bookmarkEnd w:id="0"/>
          </w:p>
          <w:p w:rsidR="00436D9B" w:rsidRPr="00F73B1D" w:rsidRDefault="00436D9B" w:rsidP="003C2387">
            <w:pPr>
              <w:pStyle w:val="ListParagraph"/>
              <w:numPr>
                <w:ilvl w:val="0"/>
                <w:numId w:val="1"/>
              </w:numPr>
              <w:rPr>
                <w:sz w:val="28"/>
                <w:szCs w:val="28"/>
              </w:rPr>
            </w:pPr>
            <w:r>
              <w:rPr>
                <w:sz w:val="28"/>
                <w:szCs w:val="28"/>
              </w:rPr>
              <w:t>You may also refer to</w:t>
            </w:r>
            <w:r w:rsidRPr="00F73B1D">
              <w:rPr>
                <w:sz w:val="28"/>
                <w:szCs w:val="28"/>
              </w:rPr>
              <w:t xml:space="preserve"> </w:t>
            </w:r>
            <w:r w:rsidR="003C2387" w:rsidRPr="003C2387">
              <w:rPr>
                <w:color w:val="0070C0"/>
                <w:sz w:val="28"/>
                <w:u w:val="single"/>
              </w:rPr>
              <w:t>bit.ly/GEsFa19</w:t>
            </w:r>
            <w:r w:rsidR="003C2387" w:rsidRPr="003C2387">
              <w:rPr>
                <w:color w:val="0070C0"/>
                <w:sz w:val="28"/>
              </w:rPr>
              <w:t xml:space="preserve"> </w:t>
            </w:r>
            <w:r w:rsidRPr="00F73B1D">
              <w:rPr>
                <w:sz w:val="28"/>
                <w:szCs w:val="28"/>
              </w:rPr>
              <w:t xml:space="preserve">for a list of these GE’s </w:t>
            </w:r>
          </w:p>
        </w:tc>
      </w:tr>
    </w:tbl>
    <w:p w:rsidR="00667A8B" w:rsidRPr="007E2569" w:rsidRDefault="00436D9B" w:rsidP="00436D9B">
      <w:pPr>
        <w:pStyle w:val="ListParagraph"/>
        <w:jc w:val="center"/>
        <w:rPr>
          <w:sz w:val="24"/>
          <w:szCs w:val="28"/>
        </w:rPr>
      </w:pPr>
      <w:r w:rsidRPr="007E2569">
        <w:rPr>
          <w:sz w:val="24"/>
          <w:szCs w:val="28"/>
        </w:rPr>
        <w:t>Please plan your courses and employment schedules accordingly as university level courses are more rigorous and comprehensive than courses taken at your community college. Adjusting to university life can be an adjustment for many of our transfers so please plan to set aside ample study time for your courses!</w:t>
      </w:r>
    </w:p>
    <w:sectPr w:rsidR="00667A8B" w:rsidRPr="007E2569" w:rsidSect="00F73B1D">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520A2"/>
    <w:multiLevelType w:val="hybridMultilevel"/>
    <w:tmpl w:val="A6F81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9B"/>
    <w:rsid w:val="003C2387"/>
    <w:rsid w:val="00436D9B"/>
    <w:rsid w:val="00667A8B"/>
    <w:rsid w:val="006F20B1"/>
    <w:rsid w:val="007E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B539"/>
  <w15:chartTrackingRefBased/>
  <w15:docId w15:val="{D70A4FC5-0AF6-423C-8D56-66A4A547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D9B"/>
    <w:pPr>
      <w:ind w:left="720"/>
      <w:contextualSpacing/>
    </w:pPr>
  </w:style>
  <w:style w:type="character" w:styleId="Hyperlink">
    <w:name w:val="Hyperlink"/>
    <w:basedOn w:val="DefaultParagraphFont"/>
    <w:uiPriority w:val="99"/>
    <w:unhideWhenUsed/>
    <w:rsid w:val="00436D9B"/>
    <w:rPr>
      <w:color w:val="0563C1" w:themeColor="hyperlink"/>
      <w:u w:val="single"/>
    </w:rPr>
  </w:style>
  <w:style w:type="table" w:styleId="TableGrid">
    <w:name w:val="Table Grid"/>
    <w:basedOn w:val="TableNormal"/>
    <w:uiPriority w:val="39"/>
    <w:rsid w:val="00436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2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3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ycadvisement@fullerton.edu" TargetMode="External"/><Relationship Id="rId5" Type="http://schemas.openxmlformats.org/officeDocument/2006/relationships/hyperlink" Target="mailto:psycadvisement@fuller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Rohde, Jaqueline</dc:creator>
  <cp:keywords/>
  <dc:description/>
  <cp:lastModifiedBy>Rohde, Jaqueline</cp:lastModifiedBy>
  <cp:revision>4</cp:revision>
  <cp:lastPrinted>2019-05-29T19:09:00Z</cp:lastPrinted>
  <dcterms:created xsi:type="dcterms:W3CDTF">2019-05-23T19:02:00Z</dcterms:created>
  <dcterms:modified xsi:type="dcterms:W3CDTF">2019-05-29T19:15:00Z</dcterms:modified>
</cp:coreProperties>
</file>